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3340F988" w:rsidR="00C97584" w:rsidRPr="004F4563" w:rsidRDefault="00530A68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Pompa infuzyjna – </w:t>
      </w:r>
      <w:r w:rsidR="00DE6555">
        <w:rPr>
          <w:rFonts w:ascii="Calibri" w:hAnsi="Calibri" w:cs="Calibri"/>
          <w:b/>
          <w:bCs/>
          <w:sz w:val="22"/>
          <w:szCs w:val="22"/>
        </w:rPr>
        <w:t>35</w:t>
      </w:r>
      <w:r w:rsidR="00B3279C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DE6555">
        <w:rPr>
          <w:rFonts w:ascii="Calibri" w:hAnsi="Calibri" w:cs="Calibri"/>
          <w:b/>
          <w:bCs/>
          <w:sz w:val="22"/>
          <w:szCs w:val="22"/>
        </w:rPr>
        <w:t>. (15 szt. Dąbrowa Górnicza, 10 szt.- Tychy, 10 szt. - Ustroń)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A820370" w:rsidR="005119F3" w:rsidRPr="00897A93" w:rsidRDefault="00AB7145" w:rsidP="00897A9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897A93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 w:rsidR="0097584B">
        <w:rPr>
          <w:rFonts w:ascii="Calibri" w:hAnsi="Calibri" w:cs="Calibri"/>
          <w:bCs/>
          <w:spacing w:val="-1"/>
          <w:sz w:val="18"/>
          <w:szCs w:val="18"/>
        </w:rPr>
        <w:t>określone jako wymagane</w:t>
      </w:r>
      <w:r w:rsidRPr="00897A9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5A3F4B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0374A167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5A3F4B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30A68" w:rsidRPr="004F4563" w14:paraId="4B6CE31A" w14:textId="77777777" w:rsidTr="005A3F4B">
        <w:tc>
          <w:tcPr>
            <w:tcW w:w="709" w:type="dxa"/>
            <w:vAlign w:val="center"/>
          </w:tcPr>
          <w:p w14:paraId="6FDBD947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3BE5029C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Oprogramowanie w języku polskim</w:t>
            </w:r>
          </w:p>
        </w:tc>
        <w:tc>
          <w:tcPr>
            <w:tcW w:w="1701" w:type="dxa"/>
            <w:vAlign w:val="center"/>
          </w:tcPr>
          <w:p w14:paraId="7D802F62" w14:textId="719A6643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40501B9" w14:textId="77777777" w:rsidTr="005A3F4B">
        <w:tc>
          <w:tcPr>
            <w:tcW w:w="709" w:type="dxa"/>
            <w:vAlign w:val="center"/>
          </w:tcPr>
          <w:p w14:paraId="73BC017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E90F0B9" w14:textId="5CD2283E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Wyświetlacz: min. 3,</w:t>
            </w:r>
            <w:r w:rsidR="00682DD4">
              <w:rPr>
                <w:rFonts w:ascii="Calibri" w:hAnsi="Calibri" w:cs="Calibri"/>
                <w:sz w:val="18"/>
                <w:szCs w:val="18"/>
              </w:rPr>
              <w:t>5</w:t>
            </w:r>
            <w:r w:rsidRPr="00530A68">
              <w:rPr>
                <w:rFonts w:ascii="Calibri" w:hAnsi="Calibri" w:cs="Calibri"/>
                <w:sz w:val="18"/>
                <w:szCs w:val="18"/>
              </w:rPr>
              <w:t xml:space="preserve"> cala</w:t>
            </w:r>
            <w:r w:rsidR="004007B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007B9" w:rsidRPr="004007B9">
              <w:rPr>
                <w:rFonts w:ascii="Calibri" w:hAnsi="Calibri" w:cs="Calibri"/>
                <w:sz w:val="18"/>
                <w:szCs w:val="18"/>
              </w:rPr>
              <w:t>zapewniający czytelną prezentację parametrów pracy urządzenia</w:t>
            </w:r>
          </w:p>
        </w:tc>
        <w:tc>
          <w:tcPr>
            <w:tcW w:w="1701" w:type="dxa"/>
            <w:vAlign w:val="center"/>
          </w:tcPr>
          <w:p w14:paraId="696FAF90" w14:textId="697435D0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AF16A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340B15B" w14:textId="77777777" w:rsidTr="005A3F4B">
        <w:tc>
          <w:tcPr>
            <w:tcW w:w="709" w:type="dxa"/>
            <w:vAlign w:val="center"/>
          </w:tcPr>
          <w:p w14:paraId="5134E465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25B722E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Klawiatura numeryczna (nie dopuszcza się klawiatury numerycznej wyświetlanej wyłącznie na ekranie)</w:t>
            </w:r>
          </w:p>
        </w:tc>
        <w:tc>
          <w:tcPr>
            <w:tcW w:w="1701" w:type="dxa"/>
            <w:vAlign w:val="center"/>
          </w:tcPr>
          <w:p w14:paraId="05D9AB3B" w14:textId="79382A45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8F2CCF2" w14:textId="77777777" w:rsidTr="005A3F4B">
        <w:tc>
          <w:tcPr>
            <w:tcW w:w="709" w:type="dxa"/>
            <w:vAlign w:val="center"/>
          </w:tcPr>
          <w:p w14:paraId="7AACD6C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4EF00FE3" w:rsidR="00530A68" w:rsidRPr="00530A68" w:rsidRDefault="00682DD4" w:rsidP="00530A6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82DD4">
              <w:rPr>
                <w:rFonts w:ascii="Calibri" w:hAnsi="Calibri" w:cs="Calibri"/>
                <w:sz w:val="18"/>
                <w:szCs w:val="18"/>
              </w:rPr>
              <w:t>Wyświetlacz (LCD, OLED lub równoważny) prezentujący parametry infuzji w sposób alfanumeryczny</w:t>
            </w:r>
          </w:p>
        </w:tc>
        <w:tc>
          <w:tcPr>
            <w:tcW w:w="1701" w:type="dxa"/>
            <w:vAlign w:val="center"/>
          </w:tcPr>
          <w:p w14:paraId="618511DC" w14:textId="1CB05373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3638B2A0" w14:textId="77777777" w:rsidTr="005A3F4B">
        <w:tc>
          <w:tcPr>
            <w:tcW w:w="709" w:type="dxa"/>
            <w:vAlign w:val="center"/>
          </w:tcPr>
          <w:p w14:paraId="6FC1BB97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421917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Pompa przystosowana do pracy ze strzykawkami o objętości: od 5, 10, 20, 30, 50 do 60 ml</w:t>
            </w:r>
            <w:r w:rsidR="00DE68E3">
              <w:rPr>
                <w:rFonts w:ascii="Calibri" w:hAnsi="Calibri" w:cs="Calibri"/>
                <w:sz w:val="18"/>
                <w:szCs w:val="18"/>
              </w:rPr>
              <w:t>, u</w:t>
            </w:r>
            <w:r w:rsidR="00DE68E3" w:rsidRPr="00DE68E3">
              <w:rPr>
                <w:rFonts w:ascii="Calibri" w:hAnsi="Calibri" w:cs="Calibri"/>
                <w:sz w:val="18"/>
                <w:szCs w:val="18"/>
              </w:rPr>
              <w:t xml:space="preserve">możliwiająca prawidłową pracę z </w:t>
            </w:r>
            <w:r w:rsidR="007643AD">
              <w:rPr>
                <w:rFonts w:ascii="Calibri" w:hAnsi="Calibri" w:cs="Calibri"/>
                <w:sz w:val="18"/>
                <w:szCs w:val="18"/>
              </w:rPr>
              <w:t>różną</w:t>
            </w:r>
            <w:r w:rsidR="00DE68E3" w:rsidRPr="00DE68E3">
              <w:rPr>
                <w:rFonts w:ascii="Calibri" w:hAnsi="Calibri" w:cs="Calibri"/>
                <w:sz w:val="18"/>
                <w:szCs w:val="18"/>
              </w:rPr>
              <w:t xml:space="preserve"> gamą </w:t>
            </w:r>
            <w:r w:rsidR="005A3F4B">
              <w:rPr>
                <w:rFonts w:ascii="Calibri" w:hAnsi="Calibri" w:cs="Calibri"/>
                <w:sz w:val="18"/>
                <w:szCs w:val="18"/>
              </w:rPr>
              <w:t xml:space="preserve">(rodzajami) </w:t>
            </w:r>
            <w:r w:rsidR="00DE68E3" w:rsidRPr="00DE68E3">
              <w:rPr>
                <w:rFonts w:ascii="Calibri" w:hAnsi="Calibri" w:cs="Calibri"/>
                <w:sz w:val="18"/>
                <w:szCs w:val="18"/>
              </w:rPr>
              <w:t>strzykawek i zestawów infuzyjnych, z automatycznym rozpoznawaniem typu lub objętości, lub rozwiązaniem równoważnym.</w:t>
            </w:r>
          </w:p>
        </w:tc>
        <w:tc>
          <w:tcPr>
            <w:tcW w:w="1701" w:type="dxa"/>
            <w:vAlign w:val="center"/>
          </w:tcPr>
          <w:p w14:paraId="09232307" w14:textId="4198BA85" w:rsidR="00530A68" w:rsidRPr="00530A68" w:rsidRDefault="00530A68" w:rsidP="00530A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BA54785" w14:textId="77777777" w:rsidTr="005A3F4B">
        <w:tc>
          <w:tcPr>
            <w:tcW w:w="709" w:type="dxa"/>
            <w:vAlign w:val="center"/>
          </w:tcPr>
          <w:p w14:paraId="60CDB9A1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F574CA0" w14:textId="0B7125A9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Automatyczne rozpoznawanie strzykawek</w:t>
            </w:r>
            <w:r w:rsidR="00BD3A1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D3A1E" w:rsidRPr="00BD3A1E">
              <w:rPr>
                <w:rFonts w:ascii="Calibri" w:hAnsi="Calibri" w:cs="Calibri"/>
                <w:sz w:val="18"/>
                <w:szCs w:val="18"/>
              </w:rPr>
              <w:t>w celu zapewnienia prawidłowych parametrów infuzji</w:t>
            </w:r>
          </w:p>
        </w:tc>
        <w:tc>
          <w:tcPr>
            <w:tcW w:w="1701" w:type="dxa"/>
            <w:vAlign w:val="center"/>
          </w:tcPr>
          <w:p w14:paraId="6323689F" w14:textId="0DBC8F38" w:rsidR="00530A68" w:rsidRPr="00530A68" w:rsidRDefault="00530A68" w:rsidP="00530A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60717513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E349837" w14:textId="77777777" w:rsidTr="005A3F4B">
        <w:tc>
          <w:tcPr>
            <w:tcW w:w="709" w:type="dxa"/>
            <w:vAlign w:val="center"/>
          </w:tcPr>
          <w:p w14:paraId="39D15FD9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7031339A" w:rsidR="00530A68" w:rsidRPr="00530A68" w:rsidRDefault="005A3F4B" w:rsidP="00530A6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="00682DD4" w:rsidRPr="00682DD4">
              <w:rPr>
                <w:rFonts w:ascii="Calibri" w:hAnsi="Calibri" w:cs="Calibri"/>
                <w:sz w:val="18"/>
                <w:szCs w:val="18"/>
              </w:rPr>
              <w:t>yprodukowane nie wcześniej niż 12 miesięcy przed datą dostawy</w:t>
            </w:r>
          </w:p>
        </w:tc>
        <w:tc>
          <w:tcPr>
            <w:tcW w:w="1701" w:type="dxa"/>
            <w:vAlign w:val="center"/>
          </w:tcPr>
          <w:p w14:paraId="1058B272" w14:textId="09F6BA42" w:rsidR="00530A68" w:rsidRPr="00530A68" w:rsidRDefault="00530A68" w:rsidP="00530A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B886B17" w14:textId="77777777" w:rsidTr="005A3F4B">
        <w:tc>
          <w:tcPr>
            <w:tcW w:w="709" w:type="dxa"/>
            <w:vAlign w:val="center"/>
          </w:tcPr>
          <w:p w14:paraId="42C06ADE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59542F25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 xml:space="preserve">Aktualne dokumenty potwierdzające, że zaoferowany przez Wykonawcę sprzęt jest dopuszczony do użytkowania na terenie Rzeczypospolitej Polskiej i Unii Europejskiej zgodnie z obowiązującymi przepisami prawa </w:t>
            </w:r>
          </w:p>
        </w:tc>
        <w:tc>
          <w:tcPr>
            <w:tcW w:w="1701" w:type="dxa"/>
            <w:vAlign w:val="center"/>
          </w:tcPr>
          <w:p w14:paraId="62BA9549" w14:textId="0DA18EFD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B9F903D" w14:textId="77777777" w:rsidTr="005A3F4B">
        <w:tc>
          <w:tcPr>
            <w:tcW w:w="709" w:type="dxa"/>
            <w:vAlign w:val="center"/>
          </w:tcPr>
          <w:p w14:paraId="6B813F6C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09F72CA5" w:rsidR="00530A68" w:rsidRPr="00530A68" w:rsidRDefault="00530A68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Pompa infuzyjna dwustrzykawkowa posiadająca dwa niezależnie programowane tory infuzyjne (nie dopuszcza się pomp jednostrzykawkowych łączonych w zestawy)</w:t>
            </w:r>
          </w:p>
        </w:tc>
        <w:tc>
          <w:tcPr>
            <w:tcW w:w="1701" w:type="dxa"/>
            <w:vAlign w:val="center"/>
          </w:tcPr>
          <w:p w14:paraId="1DB7EF8F" w14:textId="6A787A46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DC97090" w14:textId="77777777" w:rsidTr="005A3F4B">
        <w:tc>
          <w:tcPr>
            <w:tcW w:w="709" w:type="dxa"/>
            <w:vAlign w:val="center"/>
          </w:tcPr>
          <w:p w14:paraId="7C52F79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158AA649" w:rsidR="00530A68" w:rsidRPr="005A3F4B" w:rsidRDefault="00682DD4" w:rsidP="005A3F4B">
            <w:pPr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t>Zakres szybkości infuzji dostosowany do pojemności strzykawki, obejmujący co najmniej:</w:t>
            </w: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br/>
              <w:t>– do 400 ml/h dla strzykawek 5 ml,</w:t>
            </w: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br/>
              <w:t>– do 600 ml/h dla strzykawek 10 ml,</w:t>
            </w: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br/>
              <w:t>– do 1000 ml/h dla strzykawek 20 ml,</w:t>
            </w: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br/>
              <w:t>– do 1200 ml/h dla strzykawek 30 ml,</w:t>
            </w: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br/>
              <w:t>– do 2000 ml/h dla strzykawek 50/60 ml,</w:t>
            </w:r>
            <w:r w:rsidRPr="005A3F4B">
              <w:rPr>
                <w:rFonts w:ascii="Calibri" w:hAnsi="Calibri" w:cs="Calibri"/>
                <w:sz w:val="18"/>
                <w:szCs w:val="18"/>
                <w:lang w:val="en"/>
              </w:rPr>
              <w:br/>
              <w:t>z możliwością precyzyjnej regulacji przepływu (≤ 0,1 ml/h) w zakresie niskich szybkości infuzji.</w:t>
            </w:r>
          </w:p>
        </w:tc>
        <w:tc>
          <w:tcPr>
            <w:tcW w:w="1701" w:type="dxa"/>
            <w:vAlign w:val="center"/>
          </w:tcPr>
          <w:p w14:paraId="4EF6969C" w14:textId="31D2053A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167C63C" w14:textId="77777777" w:rsidTr="005A3F4B">
        <w:tc>
          <w:tcPr>
            <w:tcW w:w="709" w:type="dxa"/>
            <w:vAlign w:val="center"/>
          </w:tcPr>
          <w:p w14:paraId="628FD720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0319F466" w:rsidR="00530A68" w:rsidRPr="00530A68" w:rsidRDefault="005925C5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5925C5">
              <w:rPr>
                <w:rFonts w:ascii="Calibri" w:hAnsi="Calibri" w:cs="Calibri"/>
                <w:sz w:val="18"/>
                <w:szCs w:val="18"/>
              </w:rPr>
              <w:t>Programowanie infuzji w jednostkach objętościowych i dawkach wagozależnych, w tym</w:t>
            </w:r>
            <w:r w:rsidR="00925FBC" w:rsidRPr="00925FBC">
              <w:rPr>
                <w:rFonts w:ascii="Calibri" w:hAnsi="Calibri" w:cs="Calibri"/>
                <w:sz w:val="18"/>
                <w:szCs w:val="18"/>
              </w:rPr>
              <w:t>: ml/h, mg/h, µg/h, mg/kg/h, µg/kg/h, mg/kg/min, µg/kg/min</w:t>
            </w:r>
            <w:r w:rsidR="00422B27">
              <w:rPr>
                <w:rFonts w:ascii="Calibri" w:hAnsi="Calibri" w:cs="Calibri"/>
                <w:sz w:val="18"/>
                <w:szCs w:val="18"/>
              </w:rPr>
              <w:t xml:space="preserve"> l</w:t>
            </w:r>
            <w:r w:rsidR="00422B27" w:rsidRPr="00422B27">
              <w:rPr>
                <w:rFonts w:ascii="Calibri" w:hAnsi="Calibri" w:cs="Calibri"/>
                <w:sz w:val="18"/>
                <w:szCs w:val="18"/>
              </w:rPr>
              <w:t>ub równoważnych, zapewniających prawidłowe dawkowanie leków.</w:t>
            </w:r>
          </w:p>
        </w:tc>
        <w:tc>
          <w:tcPr>
            <w:tcW w:w="1701" w:type="dxa"/>
            <w:vAlign w:val="center"/>
          </w:tcPr>
          <w:p w14:paraId="1205C97A" w14:textId="077BFAB4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83217AF" w14:textId="77777777" w:rsidTr="005A3F4B">
        <w:tc>
          <w:tcPr>
            <w:tcW w:w="709" w:type="dxa"/>
            <w:vAlign w:val="center"/>
          </w:tcPr>
          <w:p w14:paraId="352CED20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32BEB556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Dokładność szybkości dozowania: min. 1%</w:t>
            </w:r>
          </w:p>
        </w:tc>
        <w:tc>
          <w:tcPr>
            <w:tcW w:w="1701" w:type="dxa"/>
            <w:vAlign w:val="center"/>
          </w:tcPr>
          <w:p w14:paraId="4DEB6567" w14:textId="7D244575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21F55BD" w14:textId="77777777" w:rsidTr="005A3F4B">
        <w:tc>
          <w:tcPr>
            <w:tcW w:w="709" w:type="dxa"/>
            <w:vAlign w:val="center"/>
          </w:tcPr>
          <w:p w14:paraId="34C37A41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2583F8BC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Funkcja bezpiecznego podawania dawki uderzeniowej BOLUS</w:t>
            </w:r>
          </w:p>
        </w:tc>
        <w:tc>
          <w:tcPr>
            <w:tcW w:w="1701" w:type="dxa"/>
            <w:vAlign w:val="center"/>
          </w:tcPr>
          <w:p w14:paraId="0E58BAB3" w14:textId="06892634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A6EF615" w14:textId="77777777" w:rsidTr="005A3F4B">
        <w:tc>
          <w:tcPr>
            <w:tcW w:w="709" w:type="dxa"/>
            <w:vAlign w:val="center"/>
          </w:tcPr>
          <w:p w14:paraId="672927D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493A6D4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Bolus podawany w dowolnym momencie wlewu</w:t>
            </w:r>
          </w:p>
        </w:tc>
        <w:tc>
          <w:tcPr>
            <w:tcW w:w="1701" w:type="dxa"/>
            <w:vAlign w:val="center"/>
          </w:tcPr>
          <w:p w14:paraId="57593FE3" w14:textId="674A9D6A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5FBC" w:rsidRPr="004F4563" w14:paraId="44886B19" w14:textId="77777777" w:rsidTr="005A3F4B">
        <w:tc>
          <w:tcPr>
            <w:tcW w:w="709" w:type="dxa"/>
            <w:vAlign w:val="center"/>
          </w:tcPr>
          <w:p w14:paraId="16CCAE9A" w14:textId="77777777" w:rsidR="00925FBC" w:rsidRPr="004F4563" w:rsidRDefault="00925FBC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5307E9" w14:textId="7DFADBCE" w:rsidR="00925FBC" w:rsidRPr="005A3F4B" w:rsidRDefault="00682DD4" w:rsidP="005A3F4B">
            <w:pPr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>Możliwość regulacji szybkości podawania dawki uderzeniowej (bolus), dostosowanej do pojemności strzykawki, obejmującej co najmniej następujące maksymalne wartości:</w:t>
            </w:r>
            <w:r w:rsidRPr="005A3F4B">
              <w:rPr>
                <w:rFonts w:ascii="Calibri" w:hAnsi="Calibri" w:cs="Calibri"/>
                <w:sz w:val="18"/>
                <w:szCs w:val="18"/>
              </w:rPr>
              <w:br/>
              <w:t>– do 400 ml/h (5 ml),</w:t>
            </w:r>
            <w:r w:rsidRPr="005A3F4B">
              <w:rPr>
                <w:rFonts w:ascii="Calibri" w:hAnsi="Calibri" w:cs="Calibri"/>
                <w:sz w:val="18"/>
                <w:szCs w:val="18"/>
              </w:rPr>
              <w:br/>
              <w:t>– do 600 ml/h (10 ml),</w:t>
            </w:r>
            <w:r w:rsidRPr="005A3F4B">
              <w:rPr>
                <w:rFonts w:ascii="Calibri" w:hAnsi="Calibri" w:cs="Calibri"/>
                <w:sz w:val="18"/>
                <w:szCs w:val="18"/>
              </w:rPr>
              <w:br/>
              <w:t>– do 1000 ml/h (20 ml),</w:t>
            </w:r>
            <w:r w:rsidRPr="005A3F4B">
              <w:rPr>
                <w:rFonts w:ascii="Calibri" w:hAnsi="Calibri" w:cs="Calibri"/>
                <w:sz w:val="18"/>
                <w:szCs w:val="18"/>
              </w:rPr>
              <w:br/>
              <w:t>– do 1200 ml/h (30 ml),</w:t>
            </w:r>
            <w:r w:rsidRPr="005A3F4B">
              <w:rPr>
                <w:rFonts w:ascii="Calibri" w:hAnsi="Calibri" w:cs="Calibri"/>
                <w:sz w:val="18"/>
                <w:szCs w:val="18"/>
              </w:rPr>
              <w:br/>
              <w:t>– do 2000 ml/h (50/60 ml),</w:t>
            </w:r>
            <w:r w:rsidRPr="005A3F4B">
              <w:rPr>
                <w:rFonts w:ascii="Calibri" w:hAnsi="Calibri" w:cs="Calibri"/>
                <w:sz w:val="18"/>
                <w:szCs w:val="18"/>
              </w:rPr>
              <w:br/>
              <w:t>z możliwością precyzyjnej kontroli dawkowania.</w:t>
            </w:r>
          </w:p>
        </w:tc>
        <w:tc>
          <w:tcPr>
            <w:tcW w:w="1701" w:type="dxa"/>
            <w:vAlign w:val="center"/>
          </w:tcPr>
          <w:p w14:paraId="1D6357CE" w14:textId="51CE7314" w:rsidR="00925FBC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72C2B5E" w14:textId="77777777" w:rsidR="00925FBC" w:rsidRPr="004F4563" w:rsidRDefault="00925FBC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FE71398" w14:textId="77777777" w:rsidTr="005A3F4B">
        <w:tc>
          <w:tcPr>
            <w:tcW w:w="709" w:type="dxa"/>
            <w:vAlign w:val="center"/>
          </w:tcPr>
          <w:p w14:paraId="3DE37392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683E70AE" w:rsidR="00530A68" w:rsidRPr="002B3BA3" w:rsidRDefault="00682DD4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2B3BA3">
              <w:rPr>
                <w:rFonts w:ascii="Calibri" w:hAnsi="Calibri" w:cs="Calibri"/>
                <w:sz w:val="18"/>
                <w:szCs w:val="18"/>
              </w:rPr>
              <w:t xml:space="preserve">Umożliwia podawanie substancji w sposób ciągły lub cykliczny, z określoną dawką i w ustalonych odstępach czasowych </w:t>
            </w:r>
          </w:p>
        </w:tc>
        <w:tc>
          <w:tcPr>
            <w:tcW w:w="1701" w:type="dxa"/>
            <w:vAlign w:val="center"/>
          </w:tcPr>
          <w:p w14:paraId="71068DD6" w14:textId="11178D9B" w:rsidR="00530A68" w:rsidRPr="00530A68" w:rsidRDefault="00925FBC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D11BBD3" w14:textId="77777777" w:rsidTr="005A3F4B">
        <w:tc>
          <w:tcPr>
            <w:tcW w:w="709" w:type="dxa"/>
            <w:vAlign w:val="center"/>
          </w:tcPr>
          <w:p w14:paraId="0EE7965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2A2A1AB5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Możliwość podglądu zaprogramowanych parametrów infuzji</w:t>
            </w:r>
          </w:p>
        </w:tc>
        <w:tc>
          <w:tcPr>
            <w:tcW w:w="1701" w:type="dxa"/>
            <w:vAlign w:val="center"/>
          </w:tcPr>
          <w:p w14:paraId="0DD13483" w14:textId="333D668D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A910667" w14:textId="77777777" w:rsidTr="005A3F4B">
        <w:tc>
          <w:tcPr>
            <w:tcW w:w="709" w:type="dxa"/>
            <w:vAlign w:val="center"/>
          </w:tcPr>
          <w:p w14:paraId="0C5F88C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1D8F3A34" w:rsidR="00530A68" w:rsidRPr="00530A68" w:rsidRDefault="002100F5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2100F5">
              <w:rPr>
                <w:rFonts w:ascii="Calibri" w:hAnsi="Calibri" w:cs="Calibri"/>
                <w:sz w:val="18"/>
                <w:szCs w:val="18"/>
              </w:rPr>
              <w:t>Możliwość zablokowania przycisków klawiatury w celu zabezpieczenia przed nieuprawnioną zmianą parametrów, z wykorzystaniem mechanizmu autoryzacji użytkownika (np. hasło, kod lub rozwiązanie równoważne).</w:t>
            </w:r>
          </w:p>
        </w:tc>
        <w:tc>
          <w:tcPr>
            <w:tcW w:w="1701" w:type="dxa"/>
            <w:vAlign w:val="center"/>
          </w:tcPr>
          <w:p w14:paraId="6B467C41" w14:textId="35B4D8BA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E47505C" w14:textId="77777777" w:rsidTr="005A3F4B">
        <w:tc>
          <w:tcPr>
            <w:tcW w:w="709" w:type="dxa"/>
            <w:vAlign w:val="center"/>
          </w:tcPr>
          <w:p w14:paraId="48AF571D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67A44A0" w14:textId="557C7BE0" w:rsidR="00925FBC" w:rsidRPr="00925FBC" w:rsidRDefault="00925FBC" w:rsidP="00925FBC">
            <w:pPr>
              <w:tabs>
                <w:tab w:val="left" w:pos="1155"/>
              </w:tabs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 xml:space="preserve">Programowana objętość infuzji co 0,1 ml </w:t>
            </w:r>
          </w:p>
          <w:p w14:paraId="09ADC822" w14:textId="2BA78A97" w:rsidR="00530A68" w:rsidRPr="00530A68" w:rsidRDefault="00925FBC" w:rsidP="00925FBC">
            <w:pPr>
              <w:tabs>
                <w:tab w:val="left" w:pos="1155"/>
              </w:tabs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min. 0,1 do 999,9 ml</w:t>
            </w:r>
          </w:p>
        </w:tc>
        <w:tc>
          <w:tcPr>
            <w:tcW w:w="1701" w:type="dxa"/>
            <w:vAlign w:val="center"/>
          </w:tcPr>
          <w:p w14:paraId="6AE37699" w14:textId="75EB3AB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AA16408" w14:textId="77777777" w:rsidTr="005A3F4B">
        <w:trPr>
          <w:trHeight w:val="333"/>
        </w:trPr>
        <w:tc>
          <w:tcPr>
            <w:tcW w:w="709" w:type="dxa"/>
            <w:vAlign w:val="center"/>
          </w:tcPr>
          <w:p w14:paraId="50BA970B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C36E505" w14:textId="1A50E4F0" w:rsidR="00925FBC" w:rsidRPr="00925FBC" w:rsidRDefault="00925FBC" w:rsidP="00925FBC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Programowanie</w:t>
            </w:r>
            <w:r w:rsidR="009D6A13">
              <w:rPr>
                <w:rFonts w:ascii="Calibri" w:hAnsi="Calibri" w:cs="Calibri"/>
                <w:sz w:val="18"/>
                <w:szCs w:val="18"/>
              </w:rPr>
              <w:t xml:space="preserve"> infuzji, w tym m.in.</w:t>
            </w:r>
            <w:r w:rsidRPr="00925FBC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0F89D8F" w14:textId="77777777" w:rsidR="005A3F4B" w:rsidRDefault="00925FBC" w:rsidP="005A3F4B">
            <w:pPr>
              <w:pStyle w:val="Akapitzlist"/>
              <w:numPr>
                <w:ilvl w:val="0"/>
                <w:numId w:val="18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 xml:space="preserve">prędkości, </w:t>
            </w:r>
          </w:p>
          <w:p w14:paraId="1BA83FC0" w14:textId="77777777" w:rsidR="005A3F4B" w:rsidRDefault="00925FBC" w:rsidP="005A3F4B">
            <w:pPr>
              <w:pStyle w:val="Akapitzlist"/>
              <w:numPr>
                <w:ilvl w:val="0"/>
                <w:numId w:val="18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 xml:space="preserve">prędkości i objętości, </w:t>
            </w:r>
          </w:p>
          <w:p w14:paraId="0D87E3CF" w14:textId="77777777" w:rsidR="005A3F4B" w:rsidRDefault="00925FBC" w:rsidP="005A3F4B">
            <w:pPr>
              <w:pStyle w:val="Akapitzlist"/>
              <w:numPr>
                <w:ilvl w:val="0"/>
                <w:numId w:val="18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 xml:space="preserve">prędkości i czasu, </w:t>
            </w:r>
          </w:p>
          <w:p w14:paraId="21416195" w14:textId="6B652A03" w:rsidR="00530A68" w:rsidRPr="005A3F4B" w:rsidRDefault="00925FBC" w:rsidP="005A3F4B">
            <w:pPr>
              <w:pStyle w:val="Akapitzlist"/>
              <w:numPr>
                <w:ilvl w:val="0"/>
                <w:numId w:val="18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>objętości i czasu</w:t>
            </w:r>
            <w:r w:rsidR="005A3F4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44949C6" w14:textId="5C37CAC7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BD83ED1" w14:textId="77777777" w:rsidTr="005A3F4B">
        <w:tc>
          <w:tcPr>
            <w:tcW w:w="709" w:type="dxa"/>
            <w:vAlign w:val="center"/>
          </w:tcPr>
          <w:p w14:paraId="3C87489E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191AD520" w:rsidR="00530A68" w:rsidRPr="00530A68" w:rsidRDefault="00682DD4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682DD4">
              <w:rPr>
                <w:rFonts w:ascii="Calibri" w:hAnsi="Calibri" w:cs="Calibri"/>
                <w:sz w:val="18"/>
                <w:szCs w:val="18"/>
              </w:rPr>
              <w:t>Ustawianie wartości ciśnienia okluzji w zakresie co najmniej 300–900 mmHg, z możliwością dostosowania czułości do warunków klinicznych</w:t>
            </w:r>
          </w:p>
        </w:tc>
        <w:tc>
          <w:tcPr>
            <w:tcW w:w="1701" w:type="dxa"/>
            <w:vAlign w:val="center"/>
          </w:tcPr>
          <w:p w14:paraId="037C550D" w14:textId="636B27E8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51A4127" w14:textId="77777777" w:rsidTr="005A3F4B">
        <w:tc>
          <w:tcPr>
            <w:tcW w:w="709" w:type="dxa"/>
            <w:vAlign w:val="center"/>
          </w:tcPr>
          <w:p w14:paraId="01EEA1F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C7F92A" w14:textId="50000368" w:rsidR="00530A68" w:rsidRPr="00530A68" w:rsidRDefault="00925FBC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925FBC">
              <w:rPr>
                <w:rFonts w:ascii="Calibri" w:hAnsi="Calibri" w:cs="Calibri"/>
                <w:sz w:val="18"/>
                <w:szCs w:val="18"/>
              </w:rPr>
              <w:t>Możliwość programowania nazwy oddziału</w:t>
            </w:r>
            <w:r w:rsidR="00FE50E2">
              <w:rPr>
                <w:rFonts w:ascii="Calibri" w:hAnsi="Calibri" w:cs="Calibri"/>
                <w:sz w:val="18"/>
                <w:szCs w:val="18"/>
              </w:rPr>
              <w:t xml:space="preserve"> lub innego identyfikatora</w:t>
            </w:r>
          </w:p>
        </w:tc>
        <w:tc>
          <w:tcPr>
            <w:tcW w:w="1701" w:type="dxa"/>
            <w:vAlign w:val="center"/>
          </w:tcPr>
          <w:p w14:paraId="24AE8CD7" w14:textId="20E6D38A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F5C687B" w14:textId="77777777" w:rsidTr="005A3F4B">
        <w:tc>
          <w:tcPr>
            <w:tcW w:w="709" w:type="dxa"/>
            <w:vAlign w:val="center"/>
          </w:tcPr>
          <w:p w14:paraId="1B424EA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131742A1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Wyświetlanie nazw min. 60 leków (możliwość</w:t>
            </w:r>
            <w:r w:rsidR="009A0FE6">
              <w:rPr>
                <w:rFonts w:ascii="Calibri" w:hAnsi="Calibri" w:cs="Calibri"/>
                <w:sz w:val="18"/>
                <w:szCs w:val="18"/>
              </w:rPr>
              <w:t xml:space="preserve"> aktualizacji </w:t>
            </w:r>
            <w:r w:rsidR="00A041E9">
              <w:rPr>
                <w:rFonts w:ascii="Calibri" w:hAnsi="Calibri" w:cs="Calibri"/>
                <w:sz w:val="18"/>
                <w:szCs w:val="18"/>
              </w:rPr>
              <w:t>lub</w:t>
            </w:r>
            <w:r w:rsidRPr="00F45EBB">
              <w:rPr>
                <w:rFonts w:ascii="Calibri" w:hAnsi="Calibri" w:cs="Calibri"/>
                <w:sz w:val="18"/>
                <w:szCs w:val="18"/>
              </w:rPr>
              <w:t xml:space="preserve"> wymiany wszystkich nazw leków)</w:t>
            </w:r>
          </w:p>
        </w:tc>
        <w:tc>
          <w:tcPr>
            <w:tcW w:w="1701" w:type="dxa"/>
            <w:vAlign w:val="center"/>
          </w:tcPr>
          <w:p w14:paraId="0656FDFF" w14:textId="524E09F5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4FF6A7A" w14:textId="77777777" w:rsidTr="005A3F4B">
        <w:tc>
          <w:tcPr>
            <w:tcW w:w="709" w:type="dxa"/>
            <w:vAlign w:val="center"/>
          </w:tcPr>
          <w:p w14:paraId="17214354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7C6FFC00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Możliwość zaprogramowania profili podaży powiązanych z nazwami określonego leku </w:t>
            </w:r>
            <w:r w:rsidR="002473F1">
              <w:rPr>
                <w:rFonts w:ascii="Calibri" w:hAnsi="Calibri" w:cs="Calibri"/>
                <w:sz w:val="18"/>
                <w:szCs w:val="18"/>
              </w:rPr>
              <w:t xml:space="preserve">w liczbie co najmniej </w:t>
            </w:r>
            <w:r w:rsidRPr="00F45EBB">
              <w:rPr>
                <w:rFonts w:ascii="Calibri" w:hAnsi="Calibri" w:cs="Calibri"/>
                <w:sz w:val="18"/>
                <w:szCs w:val="18"/>
              </w:rPr>
              <w:t>16 profili</w:t>
            </w:r>
          </w:p>
        </w:tc>
        <w:tc>
          <w:tcPr>
            <w:tcW w:w="1701" w:type="dxa"/>
            <w:vAlign w:val="center"/>
          </w:tcPr>
          <w:p w14:paraId="6876C5D3" w14:textId="16E0D805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7E4D4749" w14:textId="77777777" w:rsidTr="005A3F4B">
        <w:tc>
          <w:tcPr>
            <w:tcW w:w="709" w:type="dxa"/>
            <w:vAlign w:val="center"/>
          </w:tcPr>
          <w:p w14:paraId="20919AA3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0ACABD01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Funkcja KVO (utrzymanie drożności żył) programowalna w zakresie min. 0-5 ml/h ze skokiem co 0,1 ml/h.</w:t>
            </w:r>
          </w:p>
        </w:tc>
        <w:tc>
          <w:tcPr>
            <w:tcW w:w="1701" w:type="dxa"/>
            <w:vAlign w:val="center"/>
          </w:tcPr>
          <w:p w14:paraId="754A7539" w14:textId="0C5EEA4D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43DEC124" w14:textId="77777777" w:rsidTr="005A3F4B">
        <w:tc>
          <w:tcPr>
            <w:tcW w:w="709" w:type="dxa"/>
            <w:vAlign w:val="center"/>
          </w:tcPr>
          <w:p w14:paraId="75B4BDBE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349DCCCF" w:rsidR="00530A68" w:rsidRPr="00530A68" w:rsidRDefault="00682DD4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682DD4">
              <w:rPr>
                <w:rFonts w:ascii="Calibri" w:hAnsi="Calibri" w:cs="Calibri"/>
                <w:sz w:val="18"/>
                <w:szCs w:val="18"/>
              </w:rPr>
              <w:t>Urządzenie wyposażone w funkcję automatycznego przejścia w tryb Stand-By z programowalnym czasem aktywacji, umożliwiającą dostosowanie pracy urządzenia do różnych warunków klinicznych i organizacyjnych</w:t>
            </w:r>
          </w:p>
        </w:tc>
        <w:tc>
          <w:tcPr>
            <w:tcW w:w="1701" w:type="dxa"/>
            <w:vAlign w:val="center"/>
          </w:tcPr>
          <w:p w14:paraId="7CCD70FD" w14:textId="304F3EB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EEC3C8B" w14:textId="77777777" w:rsidTr="005A3F4B">
        <w:tc>
          <w:tcPr>
            <w:tcW w:w="709" w:type="dxa"/>
            <w:vAlign w:val="center"/>
          </w:tcPr>
          <w:p w14:paraId="53A46881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4A0250" w14:textId="7DA49B95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Funkcja programowania czasu infuzji do 99 godz.</w:t>
            </w:r>
          </w:p>
        </w:tc>
        <w:tc>
          <w:tcPr>
            <w:tcW w:w="1701" w:type="dxa"/>
            <w:vAlign w:val="center"/>
          </w:tcPr>
          <w:p w14:paraId="6347B504" w14:textId="703883EF" w:rsidR="00530A68" w:rsidRPr="00530A68" w:rsidRDefault="00530A68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30A68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A89EE4A" w14:textId="77777777" w:rsidTr="005A3F4B">
        <w:tc>
          <w:tcPr>
            <w:tcW w:w="709" w:type="dxa"/>
            <w:vAlign w:val="center"/>
          </w:tcPr>
          <w:p w14:paraId="27DB89D9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24C6E157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Rejestr zdarzeń </w:t>
            </w:r>
            <w:r w:rsidR="00A54693" w:rsidRPr="00A54693">
              <w:rPr>
                <w:rFonts w:ascii="Calibri" w:hAnsi="Calibri" w:cs="Calibri"/>
                <w:sz w:val="18"/>
                <w:szCs w:val="18"/>
              </w:rPr>
              <w:t>umożliwiający zapisywanie historii pracy urządzenia, obejmujący co najmniej</w:t>
            </w:r>
            <w:r w:rsidR="005A3F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45EBB">
              <w:rPr>
                <w:rFonts w:ascii="Calibri" w:hAnsi="Calibri" w:cs="Calibri"/>
                <w:sz w:val="18"/>
                <w:szCs w:val="18"/>
              </w:rPr>
              <w:t>2000</w:t>
            </w:r>
            <w:r w:rsidR="00A54693">
              <w:rPr>
                <w:rFonts w:ascii="Calibri" w:hAnsi="Calibri" w:cs="Calibri"/>
                <w:sz w:val="18"/>
                <w:szCs w:val="18"/>
              </w:rPr>
              <w:t xml:space="preserve"> wpisów</w:t>
            </w:r>
          </w:p>
        </w:tc>
        <w:tc>
          <w:tcPr>
            <w:tcW w:w="1701" w:type="dxa"/>
            <w:vAlign w:val="center"/>
          </w:tcPr>
          <w:p w14:paraId="4992B7C4" w14:textId="6B2531BD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BD88577" w14:textId="77777777" w:rsidTr="005A3F4B">
        <w:tc>
          <w:tcPr>
            <w:tcW w:w="709" w:type="dxa"/>
            <w:vAlign w:val="center"/>
          </w:tcPr>
          <w:p w14:paraId="78877840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7CBF8CA9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Możliwość odczytu historii zdarzeń na wyświetlaczu i w postaci pliku XML lub równoważnym w zakresie prezentacji danych związanych ze zdarzeniami</w:t>
            </w:r>
          </w:p>
        </w:tc>
        <w:tc>
          <w:tcPr>
            <w:tcW w:w="1701" w:type="dxa"/>
            <w:vAlign w:val="center"/>
          </w:tcPr>
          <w:p w14:paraId="7C5E938A" w14:textId="0CF2224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68D2A09" w14:textId="77777777" w:rsidTr="005A3F4B">
        <w:tc>
          <w:tcPr>
            <w:tcW w:w="709" w:type="dxa"/>
            <w:vAlign w:val="center"/>
          </w:tcPr>
          <w:p w14:paraId="5C84F98D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B84293A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Akustyczno-optyczny system alarmów i ostrzeżeń</w:t>
            </w:r>
          </w:p>
        </w:tc>
        <w:tc>
          <w:tcPr>
            <w:tcW w:w="1701" w:type="dxa"/>
            <w:vAlign w:val="center"/>
          </w:tcPr>
          <w:p w14:paraId="18CEE886" w14:textId="40192EE5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F4AE8" w:rsidRPr="004F4563" w14:paraId="474C39E6" w14:textId="77777777" w:rsidTr="005A3F4B">
        <w:tc>
          <w:tcPr>
            <w:tcW w:w="709" w:type="dxa"/>
            <w:vAlign w:val="center"/>
          </w:tcPr>
          <w:p w14:paraId="686B4B92" w14:textId="77777777" w:rsidR="003F4AE8" w:rsidRPr="004F4563" w:rsidRDefault="003F4AE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3F1958" w14:textId="7C43F209" w:rsidR="003F4AE8" w:rsidRPr="00F45EBB" w:rsidRDefault="003F4AE8" w:rsidP="003F4A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3F4AE8">
              <w:rPr>
                <w:rFonts w:ascii="Calibri" w:hAnsi="Calibri" w:cs="Calibri"/>
                <w:sz w:val="18"/>
                <w:szCs w:val="18"/>
              </w:rPr>
              <w:t>ystem wykrywania powietrza</w:t>
            </w:r>
            <w:r w:rsidR="0015619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5619A" w:rsidRPr="0015619A">
              <w:rPr>
                <w:rFonts w:ascii="Calibri" w:hAnsi="Calibri" w:cs="Calibri"/>
                <w:sz w:val="18"/>
                <w:szCs w:val="18"/>
              </w:rPr>
              <w:t>w strzykawce lub przewodzie infuzyjnym, uruchamiający alarm w przypadku obecności powietrza, lub rozwiązanie równoważne zapewniające bezpieczeństwo pacjenta</w:t>
            </w:r>
          </w:p>
        </w:tc>
        <w:tc>
          <w:tcPr>
            <w:tcW w:w="1701" w:type="dxa"/>
            <w:vAlign w:val="center"/>
          </w:tcPr>
          <w:p w14:paraId="4ABC4818" w14:textId="3E5CC06E" w:rsidR="003F4AE8" w:rsidRDefault="005A3F4B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2695C3" w14:textId="77777777" w:rsidR="003F4AE8" w:rsidRPr="004F4563" w:rsidRDefault="003F4AE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9D71091" w14:textId="77777777" w:rsidTr="005A3F4B">
        <w:tc>
          <w:tcPr>
            <w:tcW w:w="709" w:type="dxa"/>
            <w:vAlign w:val="center"/>
          </w:tcPr>
          <w:p w14:paraId="10925498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7CEDCBC4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Uchwyt umożliwiający zamocowanie pompy m.in. do stojaka, łóżka, stacji dokującej MD (Medical Docking) lub równoważnej.</w:t>
            </w:r>
          </w:p>
        </w:tc>
        <w:tc>
          <w:tcPr>
            <w:tcW w:w="1701" w:type="dxa"/>
            <w:vAlign w:val="center"/>
          </w:tcPr>
          <w:p w14:paraId="71CCA74F" w14:textId="2128D6C4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1A8A02D6" w14:textId="77777777" w:rsidTr="005A3F4B">
        <w:tc>
          <w:tcPr>
            <w:tcW w:w="709" w:type="dxa"/>
            <w:vAlign w:val="center"/>
          </w:tcPr>
          <w:p w14:paraId="3AA3424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074F10A2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Zasilanie sieciowe: 100-240 V, 50/60 Hz (zasilacz wewnętrzny)</w:t>
            </w:r>
          </w:p>
        </w:tc>
        <w:tc>
          <w:tcPr>
            <w:tcW w:w="1701" w:type="dxa"/>
            <w:vAlign w:val="center"/>
          </w:tcPr>
          <w:p w14:paraId="381CE47B" w14:textId="36C3F34C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68E0C404" w14:textId="77777777" w:rsidTr="005A3F4B">
        <w:tc>
          <w:tcPr>
            <w:tcW w:w="709" w:type="dxa"/>
            <w:vAlign w:val="center"/>
          </w:tcPr>
          <w:p w14:paraId="3B9B82F7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6ADD2E" w14:textId="77777777" w:rsidR="00F45EBB" w:rsidRPr="00F45EBB" w:rsidRDefault="00F45EBB" w:rsidP="00F45EBB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Zasilanie wewnętrzne akumulatorowe (minimum):</w:t>
            </w:r>
          </w:p>
          <w:p w14:paraId="6940ED16" w14:textId="77777777" w:rsidR="005A3F4B" w:rsidRDefault="00F45EBB" w:rsidP="005A3F4B">
            <w:pPr>
              <w:pStyle w:val="Akapitzlist"/>
              <w:numPr>
                <w:ilvl w:val="0"/>
                <w:numId w:val="19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 xml:space="preserve">24h przy przepływie 5 ml/h, </w:t>
            </w:r>
          </w:p>
          <w:p w14:paraId="57FC128C" w14:textId="018F15B8" w:rsidR="00530A68" w:rsidRPr="005A3F4B" w:rsidRDefault="00F45EBB" w:rsidP="005A3F4B">
            <w:pPr>
              <w:pStyle w:val="Akapitzlist"/>
              <w:numPr>
                <w:ilvl w:val="0"/>
                <w:numId w:val="19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5A3F4B">
              <w:rPr>
                <w:rFonts w:ascii="Calibri" w:hAnsi="Calibri" w:cs="Calibri"/>
                <w:sz w:val="18"/>
                <w:szCs w:val="18"/>
              </w:rPr>
              <w:t>4h przy przepływie 100 ml/h.</w:t>
            </w:r>
          </w:p>
        </w:tc>
        <w:tc>
          <w:tcPr>
            <w:tcW w:w="1701" w:type="dxa"/>
            <w:vAlign w:val="center"/>
          </w:tcPr>
          <w:p w14:paraId="7C60765F" w14:textId="16597923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7B728AF" w14:textId="77777777" w:rsidTr="005A3F4B">
        <w:tc>
          <w:tcPr>
            <w:tcW w:w="709" w:type="dxa"/>
            <w:vAlign w:val="center"/>
          </w:tcPr>
          <w:p w14:paraId="11CCACEA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3E3F4D82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Automatyczne ładowanie akumulatorów w momencie podłączenia aparatu do zasilania sieciowego</w:t>
            </w:r>
          </w:p>
        </w:tc>
        <w:tc>
          <w:tcPr>
            <w:tcW w:w="1701" w:type="dxa"/>
            <w:vAlign w:val="center"/>
          </w:tcPr>
          <w:p w14:paraId="7D9C4B8F" w14:textId="7E2AFCAC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0E458E3B" w14:textId="77777777" w:rsidTr="005A3F4B">
        <w:tc>
          <w:tcPr>
            <w:tcW w:w="709" w:type="dxa"/>
            <w:vAlign w:val="center"/>
          </w:tcPr>
          <w:p w14:paraId="18A0635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CC8C819" w14:textId="77777777" w:rsidR="00F45EBB" w:rsidRPr="00F45EBB" w:rsidRDefault="00F45EBB" w:rsidP="00F45EBB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Klasa ochronności nie gorsza niż:</w:t>
            </w:r>
          </w:p>
          <w:p w14:paraId="6DB1481D" w14:textId="52D09E14" w:rsidR="00F45EBB" w:rsidRPr="00F45EBB" w:rsidRDefault="00F45EBB" w:rsidP="005A3F4B">
            <w:pPr>
              <w:pStyle w:val="Akapitzlist"/>
              <w:numPr>
                <w:ilvl w:val="0"/>
                <w:numId w:val="17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 xml:space="preserve">II lub równoważna w zakresie wymogów związanych z ochroną przeciwpożarową, </w:t>
            </w:r>
          </w:p>
          <w:p w14:paraId="396D579F" w14:textId="59346845" w:rsidR="00F45EBB" w:rsidRPr="00F45EBB" w:rsidRDefault="00F45EBB" w:rsidP="005A3F4B">
            <w:pPr>
              <w:pStyle w:val="Akapitzlist"/>
              <w:numPr>
                <w:ilvl w:val="0"/>
                <w:numId w:val="17"/>
              </w:numPr>
              <w:ind w:left="173" w:hanging="173"/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IP53 lub równoważny w zakresie wymagań dotyczących ochrony przed wnikaniem ciał stałych i wody.</w:t>
            </w:r>
          </w:p>
          <w:p w14:paraId="5C10E3EA" w14:textId="32C73D70" w:rsidR="00530A68" w:rsidRPr="00F45EBB" w:rsidRDefault="00F45EBB" w:rsidP="00F45EBB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Ponadto sprzęt powinien cechować się odpornością na defibrylację.</w:t>
            </w:r>
          </w:p>
        </w:tc>
        <w:tc>
          <w:tcPr>
            <w:tcW w:w="1701" w:type="dxa"/>
            <w:vAlign w:val="center"/>
          </w:tcPr>
          <w:p w14:paraId="0F046EE3" w14:textId="0AB4B87C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21A5B3D4" w14:textId="77777777" w:rsidTr="005A3F4B">
        <w:tc>
          <w:tcPr>
            <w:tcW w:w="709" w:type="dxa"/>
            <w:vAlign w:val="center"/>
          </w:tcPr>
          <w:p w14:paraId="1D6E301F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6D607693" w:rsidR="00530A68" w:rsidRPr="00530A68" w:rsidRDefault="00F45EBB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F45EBB">
              <w:rPr>
                <w:rFonts w:ascii="Calibri" w:hAnsi="Calibri" w:cs="Calibri"/>
                <w:sz w:val="18"/>
                <w:szCs w:val="18"/>
              </w:rPr>
              <w:t>Port komunikacyjny np. RS-232 lub równoważny w zakresie transmisji danych</w:t>
            </w:r>
          </w:p>
        </w:tc>
        <w:tc>
          <w:tcPr>
            <w:tcW w:w="1701" w:type="dxa"/>
            <w:vAlign w:val="center"/>
          </w:tcPr>
          <w:p w14:paraId="4C45609F" w14:textId="19FC70E9" w:rsidR="00530A68" w:rsidRPr="00530A68" w:rsidRDefault="003D0410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37FE298A" w14:textId="77777777" w:rsidTr="005A3F4B">
        <w:tc>
          <w:tcPr>
            <w:tcW w:w="709" w:type="dxa"/>
            <w:vAlign w:val="center"/>
          </w:tcPr>
          <w:p w14:paraId="1149F76C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48A8E0C0" w:rsidR="00530A68" w:rsidRPr="00530A68" w:rsidRDefault="00682DD4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682DD4">
              <w:rPr>
                <w:rFonts w:ascii="Calibri" w:hAnsi="Calibri" w:cs="Calibri"/>
                <w:sz w:val="18"/>
                <w:szCs w:val="18"/>
              </w:rPr>
              <w:t>Kompaktowe wymiary (np. ok. 30 × 26 × 15 cm), umożliwiające ergonomiczne użytkowanie urządzenia</w:t>
            </w:r>
          </w:p>
        </w:tc>
        <w:tc>
          <w:tcPr>
            <w:tcW w:w="1701" w:type="dxa"/>
            <w:vAlign w:val="center"/>
          </w:tcPr>
          <w:p w14:paraId="38CD9C31" w14:textId="70805F07" w:rsidR="00530A68" w:rsidRPr="00530A68" w:rsidRDefault="00916204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EDCDD5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0A68" w:rsidRPr="004F4563" w14:paraId="5D3C8CAB" w14:textId="77777777" w:rsidTr="005A3F4B">
        <w:tc>
          <w:tcPr>
            <w:tcW w:w="709" w:type="dxa"/>
            <w:vAlign w:val="center"/>
          </w:tcPr>
          <w:p w14:paraId="2C8C5FB6" w14:textId="77777777" w:rsidR="00530A68" w:rsidRPr="004F4563" w:rsidRDefault="00530A68" w:rsidP="00530A6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3E71DFA1" w:rsidR="00530A68" w:rsidRPr="00530A68" w:rsidRDefault="003D0410" w:rsidP="00530A68">
            <w:pPr>
              <w:rPr>
                <w:rFonts w:ascii="Calibri" w:hAnsi="Calibri" w:cs="Calibri"/>
                <w:sz w:val="18"/>
                <w:szCs w:val="18"/>
              </w:rPr>
            </w:pPr>
            <w:r w:rsidRPr="003D0410">
              <w:rPr>
                <w:rFonts w:ascii="Calibri" w:hAnsi="Calibri" w:cs="Calibri"/>
                <w:sz w:val="18"/>
                <w:szCs w:val="18"/>
              </w:rPr>
              <w:t>Masa urządzenia (z akumulatorem)</w:t>
            </w:r>
            <w:r w:rsidR="005A3F4B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Pr="003D0410">
              <w:rPr>
                <w:rFonts w:ascii="Calibri" w:hAnsi="Calibri" w:cs="Calibri"/>
                <w:sz w:val="18"/>
                <w:szCs w:val="18"/>
              </w:rPr>
              <w:t>ma</w:t>
            </w:r>
            <w:r w:rsidR="005A3F4B">
              <w:rPr>
                <w:rFonts w:ascii="Calibri" w:hAnsi="Calibri" w:cs="Calibri"/>
                <w:sz w:val="18"/>
                <w:szCs w:val="18"/>
              </w:rPr>
              <w:t>ks.</w:t>
            </w:r>
            <w:r w:rsidRPr="003D041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5 kg</w:t>
            </w:r>
          </w:p>
        </w:tc>
        <w:tc>
          <w:tcPr>
            <w:tcW w:w="1701" w:type="dxa"/>
            <w:vAlign w:val="center"/>
          </w:tcPr>
          <w:p w14:paraId="68A1BABA" w14:textId="6F136BA6" w:rsidR="00530A68" w:rsidRPr="00530A68" w:rsidRDefault="00916204" w:rsidP="00530A6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857093" w14:textId="77777777" w:rsidR="00530A68" w:rsidRPr="004F4563" w:rsidRDefault="00530A68" w:rsidP="00530A6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5A3F4B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5A3F4B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4CC2D5A" w:rsidR="00966D03" w:rsidRPr="004F4563" w:rsidRDefault="003D0410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3D0410">
              <w:rPr>
                <w:rFonts w:ascii="Calibri" w:hAnsi="Calibri" w:cs="Calibri"/>
                <w:sz w:val="18"/>
                <w:szCs w:val="18"/>
              </w:rPr>
              <w:t>Okres gwarancji w miesiącach</w:t>
            </w:r>
            <w:r w:rsidR="005A3F4B">
              <w:rPr>
                <w:rFonts w:ascii="Calibri" w:hAnsi="Calibri" w:cs="Calibri"/>
                <w:sz w:val="18"/>
                <w:szCs w:val="18"/>
              </w:rPr>
              <w:t>:</w:t>
            </w:r>
            <w:r w:rsidRPr="003D0410">
              <w:rPr>
                <w:rFonts w:ascii="Calibri" w:hAnsi="Calibri" w:cs="Calibri"/>
                <w:sz w:val="18"/>
                <w:szCs w:val="18"/>
              </w:rPr>
              <w:t xml:space="preserve">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3D0410">
              <w:rPr>
                <w:rFonts w:ascii="Calibri" w:hAnsi="Calibri" w:cs="Calibri"/>
                <w:sz w:val="18"/>
                <w:szCs w:val="18"/>
              </w:rPr>
              <w:t xml:space="preserve"> m-</w:t>
            </w:r>
            <w:r>
              <w:rPr>
                <w:rFonts w:ascii="Calibri" w:hAnsi="Calibri" w:cs="Calibri"/>
                <w:sz w:val="18"/>
                <w:szCs w:val="18"/>
              </w:rPr>
              <w:t>cy</w:t>
            </w:r>
          </w:p>
        </w:tc>
        <w:tc>
          <w:tcPr>
            <w:tcW w:w="1701" w:type="dxa"/>
            <w:vAlign w:val="center"/>
          </w:tcPr>
          <w:p w14:paraId="67708833" w14:textId="63C7C099" w:rsidR="00966D03" w:rsidRPr="004F4563" w:rsidRDefault="00916204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F53B5" w:rsidRPr="004F4563" w14:paraId="1DF0940B" w14:textId="77777777" w:rsidTr="00F83BF0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5A863A1D" w14:textId="77777777" w:rsidR="00EF53B5" w:rsidRPr="00F83BF0" w:rsidRDefault="00EF53B5" w:rsidP="00F83BF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A703F5A" w14:textId="6CB3BA7A" w:rsidR="00EF53B5" w:rsidRPr="00F83BF0" w:rsidRDefault="00EF53B5" w:rsidP="00F83BF0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83BF0">
              <w:rPr>
                <w:rFonts w:ascii="Calibri" w:hAnsi="Calibri" w:cs="Calibri"/>
                <w:b/>
                <w:bCs/>
                <w:sz w:val="18"/>
                <w:szCs w:val="18"/>
              </w:rPr>
              <w:t>Szkolenie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F3B5136" w14:textId="77777777" w:rsidR="00EF53B5" w:rsidRDefault="00EF53B5" w:rsidP="00F83BF0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1A76593" w14:textId="77777777" w:rsidR="00EF53B5" w:rsidRPr="004F4563" w:rsidRDefault="00EF53B5" w:rsidP="00F83BF0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F53B5" w:rsidRPr="004F4563" w14:paraId="452FB85C" w14:textId="77777777" w:rsidTr="005A3F4B">
        <w:tc>
          <w:tcPr>
            <w:tcW w:w="709" w:type="dxa"/>
            <w:vAlign w:val="center"/>
          </w:tcPr>
          <w:p w14:paraId="2E332629" w14:textId="13211435" w:rsidR="00EF53B5" w:rsidRPr="004F4563" w:rsidRDefault="00EF53B5" w:rsidP="00EF53B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B4BB401" w14:textId="7F72D09E" w:rsidR="00EF53B5" w:rsidRPr="003D0410" w:rsidRDefault="00207BCA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 każdej lokalizacji m</w:t>
            </w:r>
            <w:r w:rsidR="00EF53B5">
              <w:rPr>
                <w:rFonts w:ascii="Calibri" w:hAnsi="Calibri" w:cs="Calibri"/>
                <w:sz w:val="18"/>
                <w:szCs w:val="18"/>
              </w:rPr>
              <w:t>in</w:t>
            </w:r>
            <w:r w:rsidR="004F3C61">
              <w:rPr>
                <w:rFonts w:ascii="Calibri" w:hAnsi="Calibri" w:cs="Calibri"/>
                <w:sz w:val="18"/>
                <w:szCs w:val="18"/>
              </w:rPr>
              <w:t>.</w:t>
            </w:r>
            <w:r w:rsidR="00EF53B5">
              <w:rPr>
                <w:rFonts w:ascii="Calibri" w:hAnsi="Calibri" w:cs="Calibri"/>
                <w:sz w:val="18"/>
                <w:szCs w:val="18"/>
              </w:rPr>
              <w:t xml:space="preserve"> 4h dla 2 osób</w:t>
            </w:r>
          </w:p>
        </w:tc>
        <w:tc>
          <w:tcPr>
            <w:tcW w:w="1701" w:type="dxa"/>
            <w:vAlign w:val="center"/>
          </w:tcPr>
          <w:p w14:paraId="224584A6" w14:textId="27C0A254" w:rsidR="00EF53B5" w:rsidRDefault="00EF53B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FFE9890" w14:textId="77777777" w:rsidR="00EF53B5" w:rsidRPr="004F4563" w:rsidRDefault="00EF53B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3F9B610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5E71E7F2" w14:textId="23B51A69" w:rsidR="00166C2D" w:rsidRPr="004F4563" w:rsidRDefault="00166C2D" w:rsidP="005B33CB">
      <w:pPr>
        <w:rPr>
          <w:rFonts w:ascii="Calibri" w:hAnsi="Calibri" w:cs="Calibri"/>
          <w:sz w:val="18"/>
          <w:szCs w:val="18"/>
        </w:rPr>
      </w:pPr>
    </w:p>
    <w:sectPr w:rsidR="00166C2D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24C6" w14:textId="77777777" w:rsidR="00802073" w:rsidRDefault="00802073" w:rsidP="0067003B">
      <w:pPr>
        <w:spacing w:line="240" w:lineRule="auto"/>
      </w:pPr>
      <w:r>
        <w:separator/>
      </w:r>
    </w:p>
  </w:endnote>
  <w:endnote w:type="continuationSeparator" w:id="0">
    <w:p w14:paraId="0C81A398" w14:textId="77777777" w:rsidR="00802073" w:rsidRDefault="0080207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A67F2" w14:textId="77777777" w:rsidR="00802073" w:rsidRDefault="00802073" w:rsidP="0067003B">
      <w:pPr>
        <w:spacing w:line="240" w:lineRule="auto"/>
      </w:pPr>
      <w:r>
        <w:separator/>
      </w:r>
    </w:p>
  </w:footnote>
  <w:footnote w:type="continuationSeparator" w:id="0">
    <w:p w14:paraId="1EA66B2A" w14:textId="77777777" w:rsidR="00802073" w:rsidRDefault="0080207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F9E3" w14:textId="6AFA7F73" w:rsidR="00722913" w:rsidRDefault="00722913" w:rsidP="00722913">
    <w:pPr>
      <w:pStyle w:val="Nagwek"/>
      <w:jc w:val="center"/>
    </w:pPr>
    <w:r w:rsidRPr="00E07224">
      <w:rPr>
        <w:noProof/>
      </w:rPr>
      <w:drawing>
        <wp:inline distT="0" distB="0" distL="0" distR="0" wp14:anchorId="415713F2" wp14:editId="5BC335F9">
          <wp:extent cx="5745480" cy="586740"/>
          <wp:effectExtent l="0" t="0" r="7620" b="3810"/>
          <wp:docPr id="18284280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7A24016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722913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2F2D8D">
      <w:rPr>
        <w:rFonts w:ascii="Calibri" w:hAnsi="Calibri" w:cs="Calibri"/>
        <w:sz w:val="16"/>
        <w:szCs w:val="16"/>
      </w:rPr>
      <w:t>3</w:t>
    </w:r>
    <w:r w:rsidR="00DE6555">
      <w:rPr>
        <w:rFonts w:ascii="Calibri" w:hAnsi="Calibri" w:cs="Calibri"/>
        <w:sz w:val="16"/>
        <w:szCs w:val="16"/>
      </w:rPr>
      <w:t>1</w:t>
    </w:r>
    <w:r w:rsidR="00722913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52A5365"/>
    <w:multiLevelType w:val="hybridMultilevel"/>
    <w:tmpl w:val="FEE683D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87448"/>
    <w:multiLevelType w:val="hybridMultilevel"/>
    <w:tmpl w:val="697C3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D57"/>
    <w:multiLevelType w:val="hybridMultilevel"/>
    <w:tmpl w:val="CC86B588"/>
    <w:lvl w:ilvl="0" w:tplc="7BF278C0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2EA34D6E"/>
    <w:multiLevelType w:val="hybridMultilevel"/>
    <w:tmpl w:val="8E921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F1F75"/>
    <w:multiLevelType w:val="hybridMultilevel"/>
    <w:tmpl w:val="A0881C7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846A6"/>
    <w:multiLevelType w:val="hybridMultilevel"/>
    <w:tmpl w:val="11622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4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62733898">
    <w:abstractNumId w:val="5"/>
  </w:num>
  <w:num w:numId="2" w16cid:durableId="558442075">
    <w:abstractNumId w:val="3"/>
  </w:num>
  <w:num w:numId="3" w16cid:durableId="951397593">
    <w:abstractNumId w:val="16"/>
  </w:num>
  <w:num w:numId="4" w16cid:durableId="1563906421">
    <w:abstractNumId w:val="9"/>
  </w:num>
  <w:num w:numId="5" w16cid:durableId="1253003423">
    <w:abstractNumId w:val="12"/>
  </w:num>
  <w:num w:numId="6" w16cid:durableId="711418155">
    <w:abstractNumId w:val="15"/>
  </w:num>
  <w:num w:numId="7" w16cid:durableId="445275802">
    <w:abstractNumId w:val="0"/>
  </w:num>
  <w:num w:numId="8" w16cid:durableId="2063168095">
    <w:abstractNumId w:val="14"/>
  </w:num>
  <w:num w:numId="9" w16cid:durableId="1679775080">
    <w:abstractNumId w:val="17"/>
  </w:num>
  <w:num w:numId="10" w16cid:durableId="617832287">
    <w:abstractNumId w:val="18"/>
  </w:num>
  <w:num w:numId="11" w16cid:durableId="1232891146">
    <w:abstractNumId w:val="7"/>
  </w:num>
  <w:num w:numId="12" w16cid:durableId="1540161792">
    <w:abstractNumId w:val="4"/>
  </w:num>
  <w:num w:numId="13" w16cid:durableId="172377217">
    <w:abstractNumId w:val="13"/>
  </w:num>
  <w:num w:numId="14" w16cid:durableId="1900357166">
    <w:abstractNumId w:val="2"/>
  </w:num>
  <w:num w:numId="15" w16cid:durableId="1767117787">
    <w:abstractNumId w:val="11"/>
  </w:num>
  <w:num w:numId="16" w16cid:durableId="1405566688">
    <w:abstractNumId w:val="8"/>
  </w:num>
  <w:num w:numId="17" w16cid:durableId="653602059">
    <w:abstractNumId w:val="10"/>
  </w:num>
  <w:num w:numId="18" w16cid:durableId="1669282886">
    <w:abstractNumId w:val="1"/>
  </w:num>
  <w:num w:numId="19" w16cid:durableId="19580975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54A2"/>
    <w:rsid w:val="00014AF3"/>
    <w:rsid w:val="00017E6F"/>
    <w:rsid w:val="000237F6"/>
    <w:rsid w:val="000321E3"/>
    <w:rsid w:val="00053654"/>
    <w:rsid w:val="00071779"/>
    <w:rsid w:val="000C72CA"/>
    <w:rsid w:val="000E1F85"/>
    <w:rsid w:val="00101EA0"/>
    <w:rsid w:val="001269C4"/>
    <w:rsid w:val="00141AED"/>
    <w:rsid w:val="0015619A"/>
    <w:rsid w:val="00157A83"/>
    <w:rsid w:val="0016442A"/>
    <w:rsid w:val="00165663"/>
    <w:rsid w:val="0016606D"/>
    <w:rsid w:val="00166C2D"/>
    <w:rsid w:val="001750BF"/>
    <w:rsid w:val="001A311A"/>
    <w:rsid w:val="001D43B1"/>
    <w:rsid w:val="001D5E90"/>
    <w:rsid w:val="00203D42"/>
    <w:rsid w:val="00207BCA"/>
    <w:rsid w:val="002100F5"/>
    <w:rsid w:val="0023501F"/>
    <w:rsid w:val="002473F1"/>
    <w:rsid w:val="00251E59"/>
    <w:rsid w:val="00256106"/>
    <w:rsid w:val="002950BD"/>
    <w:rsid w:val="00297EC9"/>
    <w:rsid w:val="002A525A"/>
    <w:rsid w:val="002B14AA"/>
    <w:rsid w:val="002B3BA3"/>
    <w:rsid w:val="002F2D8D"/>
    <w:rsid w:val="002F53A5"/>
    <w:rsid w:val="00307935"/>
    <w:rsid w:val="00315410"/>
    <w:rsid w:val="00320C0D"/>
    <w:rsid w:val="003316C1"/>
    <w:rsid w:val="0037665B"/>
    <w:rsid w:val="00391526"/>
    <w:rsid w:val="003961FE"/>
    <w:rsid w:val="003A4FE2"/>
    <w:rsid w:val="003A7B01"/>
    <w:rsid w:val="003D0410"/>
    <w:rsid w:val="003D3036"/>
    <w:rsid w:val="003E248F"/>
    <w:rsid w:val="003E3769"/>
    <w:rsid w:val="003F4AE8"/>
    <w:rsid w:val="004007B9"/>
    <w:rsid w:val="00415DCC"/>
    <w:rsid w:val="00416B5B"/>
    <w:rsid w:val="00422B27"/>
    <w:rsid w:val="00423A29"/>
    <w:rsid w:val="00431C3F"/>
    <w:rsid w:val="004510E8"/>
    <w:rsid w:val="00486473"/>
    <w:rsid w:val="00496BED"/>
    <w:rsid w:val="004B7376"/>
    <w:rsid w:val="004D4397"/>
    <w:rsid w:val="004D6D42"/>
    <w:rsid w:val="004F3C61"/>
    <w:rsid w:val="004F4563"/>
    <w:rsid w:val="00505D90"/>
    <w:rsid w:val="00507F23"/>
    <w:rsid w:val="005119F3"/>
    <w:rsid w:val="00521109"/>
    <w:rsid w:val="00525EDA"/>
    <w:rsid w:val="00530A68"/>
    <w:rsid w:val="00532D55"/>
    <w:rsid w:val="005340B5"/>
    <w:rsid w:val="00547308"/>
    <w:rsid w:val="0055601B"/>
    <w:rsid w:val="005702C8"/>
    <w:rsid w:val="0058090A"/>
    <w:rsid w:val="005925C5"/>
    <w:rsid w:val="005A3F4B"/>
    <w:rsid w:val="005B33CB"/>
    <w:rsid w:val="005C42D5"/>
    <w:rsid w:val="005D754F"/>
    <w:rsid w:val="00603CA0"/>
    <w:rsid w:val="00614642"/>
    <w:rsid w:val="00630726"/>
    <w:rsid w:val="00651900"/>
    <w:rsid w:val="0067003B"/>
    <w:rsid w:val="006708CE"/>
    <w:rsid w:val="00673F17"/>
    <w:rsid w:val="00677308"/>
    <w:rsid w:val="00682779"/>
    <w:rsid w:val="00682DD4"/>
    <w:rsid w:val="006B0182"/>
    <w:rsid w:val="006C3CCF"/>
    <w:rsid w:val="006C6ED7"/>
    <w:rsid w:val="006E19E2"/>
    <w:rsid w:val="006E1C32"/>
    <w:rsid w:val="006F6E53"/>
    <w:rsid w:val="00722913"/>
    <w:rsid w:val="00723353"/>
    <w:rsid w:val="007346E5"/>
    <w:rsid w:val="00737F5F"/>
    <w:rsid w:val="0076322A"/>
    <w:rsid w:val="007643AD"/>
    <w:rsid w:val="00790FB2"/>
    <w:rsid w:val="00795640"/>
    <w:rsid w:val="007A3377"/>
    <w:rsid w:val="007A4827"/>
    <w:rsid w:val="007A604B"/>
    <w:rsid w:val="007A63B5"/>
    <w:rsid w:val="007B2A17"/>
    <w:rsid w:val="007B77AB"/>
    <w:rsid w:val="007D7945"/>
    <w:rsid w:val="007F726A"/>
    <w:rsid w:val="00802073"/>
    <w:rsid w:val="00832F19"/>
    <w:rsid w:val="00834BF7"/>
    <w:rsid w:val="00855516"/>
    <w:rsid w:val="008715F1"/>
    <w:rsid w:val="00897A93"/>
    <w:rsid w:val="008B026F"/>
    <w:rsid w:val="008B08AC"/>
    <w:rsid w:val="008B4FA0"/>
    <w:rsid w:val="008C3F43"/>
    <w:rsid w:val="008C56B3"/>
    <w:rsid w:val="008E3901"/>
    <w:rsid w:val="008E68DF"/>
    <w:rsid w:val="008F3549"/>
    <w:rsid w:val="009021F2"/>
    <w:rsid w:val="00916204"/>
    <w:rsid w:val="00924F73"/>
    <w:rsid w:val="00925FBC"/>
    <w:rsid w:val="00931393"/>
    <w:rsid w:val="00962315"/>
    <w:rsid w:val="00966D03"/>
    <w:rsid w:val="0097584B"/>
    <w:rsid w:val="00982B29"/>
    <w:rsid w:val="00982FAE"/>
    <w:rsid w:val="009930E0"/>
    <w:rsid w:val="009A0FE6"/>
    <w:rsid w:val="009D6A05"/>
    <w:rsid w:val="009D6A13"/>
    <w:rsid w:val="009F2F91"/>
    <w:rsid w:val="00A041E9"/>
    <w:rsid w:val="00A10D52"/>
    <w:rsid w:val="00A54693"/>
    <w:rsid w:val="00A618C3"/>
    <w:rsid w:val="00AA2E6E"/>
    <w:rsid w:val="00AA37BB"/>
    <w:rsid w:val="00AB1174"/>
    <w:rsid w:val="00AB7145"/>
    <w:rsid w:val="00AD598E"/>
    <w:rsid w:val="00AD7C98"/>
    <w:rsid w:val="00AE73CF"/>
    <w:rsid w:val="00B10AB9"/>
    <w:rsid w:val="00B3279C"/>
    <w:rsid w:val="00B43994"/>
    <w:rsid w:val="00B768CD"/>
    <w:rsid w:val="00B93B91"/>
    <w:rsid w:val="00B96A97"/>
    <w:rsid w:val="00BB3A57"/>
    <w:rsid w:val="00BB5DD9"/>
    <w:rsid w:val="00BC0148"/>
    <w:rsid w:val="00BD3A1E"/>
    <w:rsid w:val="00BE0E16"/>
    <w:rsid w:val="00BE54E8"/>
    <w:rsid w:val="00BF017A"/>
    <w:rsid w:val="00C1320E"/>
    <w:rsid w:val="00C33E7E"/>
    <w:rsid w:val="00C740CB"/>
    <w:rsid w:val="00C77259"/>
    <w:rsid w:val="00C97584"/>
    <w:rsid w:val="00CC2598"/>
    <w:rsid w:val="00CD1AFD"/>
    <w:rsid w:val="00CE1AB0"/>
    <w:rsid w:val="00D12ABC"/>
    <w:rsid w:val="00D43017"/>
    <w:rsid w:val="00D52064"/>
    <w:rsid w:val="00D542B4"/>
    <w:rsid w:val="00D569FC"/>
    <w:rsid w:val="00D67C56"/>
    <w:rsid w:val="00D76A73"/>
    <w:rsid w:val="00DE47E2"/>
    <w:rsid w:val="00DE6555"/>
    <w:rsid w:val="00DE68E3"/>
    <w:rsid w:val="00E153CC"/>
    <w:rsid w:val="00E22C50"/>
    <w:rsid w:val="00E43626"/>
    <w:rsid w:val="00E82799"/>
    <w:rsid w:val="00E97961"/>
    <w:rsid w:val="00EA2265"/>
    <w:rsid w:val="00EB39C8"/>
    <w:rsid w:val="00EC1184"/>
    <w:rsid w:val="00ED21FE"/>
    <w:rsid w:val="00EE6B0D"/>
    <w:rsid w:val="00EF53B5"/>
    <w:rsid w:val="00EF7DD5"/>
    <w:rsid w:val="00F174F0"/>
    <w:rsid w:val="00F22A57"/>
    <w:rsid w:val="00F27E1D"/>
    <w:rsid w:val="00F35228"/>
    <w:rsid w:val="00F45EBB"/>
    <w:rsid w:val="00F47B81"/>
    <w:rsid w:val="00F64D1E"/>
    <w:rsid w:val="00F83BF0"/>
    <w:rsid w:val="00FC13F1"/>
    <w:rsid w:val="00FD4272"/>
    <w:rsid w:val="00FD5C5D"/>
    <w:rsid w:val="00FE4C1C"/>
    <w:rsid w:val="00FE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F2F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798</Words>
  <Characters>5082</Characters>
  <Application>Microsoft Office Word</Application>
  <DocSecurity>0</DocSecurity>
  <Lines>298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10</cp:revision>
  <dcterms:created xsi:type="dcterms:W3CDTF">2026-02-06T13:07:00Z</dcterms:created>
  <dcterms:modified xsi:type="dcterms:W3CDTF">2026-02-09T09:38:00Z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